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79" w:rsidRDefault="00006579" w:rsidP="00006579">
      <w:pPr>
        <w:autoSpaceDE w:val="0"/>
        <w:autoSpaceDN w:val="0"/>
        <w:adjustRightInd w:val="0"/>
        <w:spacing w:line="240" w:lineRule="auto"/>
        <w:jc w:val="center"/>
        <w:rPr>
          <w:rFonts w:eastAsiaTheme="minorHAnsi" w:cstheme="minorHAnsi"/>
          <w:b/>
          <w:bCs/>
          <w:u w:val="single"/>
          <w:lang w:eastAsia="en-US"/>
        </w:rPr>
      </w:pPr>
      <w:r>
        <w:rPr>
          <w:rFonts w:eastAsiaTheme="minorHAnsi" w:cstheme="minorHAnsi"/>
          <w:b/>
          <w:bCs/>
          <w:u w:val="single"/>
          <w:lang w:eastAsia="en-US"/>
        </w:rPr>
        <w:t>Owner`s Dishonesty Exclusion Clause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Notwithstanding any term or condition of this policy to the contrary, and except as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provided in this clause, the cover hereby granted excludes loss or damage directly or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indirectly caused by, resulting from or contributed to by the dishonesty or collusion of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any Owner of the Assured acting alone or with others.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However, insured property is covered against physical loss or physical damage directly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or indirectly caused by or contributed to by the dishonesty or collusion of an Employee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of the Assured provided that: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(a) such loss or damage was not also directly or indirectly contributed to by the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dishonesty or collusion of any Owner of the Assured; and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(b) such loss or damage is discovered within 72 hours (excluding Saturdays, Sundays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and official local public holidays) of its occurrence;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(c) and such loss or damage, whenever occurring, is not directly or indirectly the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result, product or aggregate of dishonest acts or collusion of any parties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conceived, planned and perpetrated prior to the inception of this policy.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'Employee' in this clause shall mean a natural person in the service of the Assured who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is subject to the Assured's direction and control and is remunerated directly by the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Assured in the form of wages or salary. It does not mean an Owner of the Assured or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an agent, broker, commission merchant, consignee, independent contractor,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representative or other person acting in the same or similar capacity.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'Owner' in this clause shall mean a natural person, whether director, officer, agent or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shareholder (beneficial or otherwise), who enjoys a beneficial interest in the Assured's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business beyond that of a salaried employee and retains sufficient control of the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Assured's business to influence its management decisions.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Cover shall not apply to loss or damage involving any Employee from and after the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time that the Assured or any Owner thereof, had knowledge or information that such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Employee has committed any fraudulent or dishonest act, whether in the service of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the Assured or otherwise and whether such act be committed before or after the date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of employment by the Assured.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eastAsia="en-US"/>
        </w:rPr>
      </w:pPr>
      <w:r>
        <w:rPr>
          <w:rFonts w:eastAsiaTheme="minorHAnsi" w:cstheme="minorHAnsi"/>
          <w:lang w:eastAsia="en-US"/>
        </w:rPr>
        <w:t>This coverage is otherwise subject to all the terms conditions and exclusions of this</w:t>
      </w:r>
    </w:p>
    <w:p w:rsidR="00006579" w:rsidRDefault="00006579" w:rsidP="00006579">
      <w:pPr>
        <w:autoSpaceDE w:val="0"/>
        <w:autoSpaceDN w:val="0"/>
        <w:adjustRightInd w:val="0"/>
        <w:spacing w:line="240" w:lineRule="auto"/>
        <w:rPr>
          <w:rFonts w:eastAsiaTheme="minorHAnsi" w:cstheme="minorHAnsi"/>
          <w:lang w:val="de-DE" w:eastAsia="en-US"/>
        </w:rPr>
      </w:pPr>
      <w:proofErr w:type="spellStart"/>
      <w:r>
        <w:rPr>
          <w:rFonts w:eastAsiaTheme="minorHAnsi" w:cstheme="minorHAnsi"/>
          <w:lang w:val="de-DE" w:eastAsia="en-US"/>
        </w:rPr>
        <w:t>insurance</w:t>
      </w:r>
      <w:proofErr w:type="spellEnd"/>
      <w:r>
        <w:rPr>
          <w:rFonts w:eastAsiaTheme="minorHAnsi" w:cstheme="minorHAnsi"/>
          <w:lang w:val="de-DE" w:eastAsia="en-US"/>
        </w:rPr>
        <w:t>.</w:t>
      </w:r>
    </w:p>
    <w:p w:rsidR="00820BEA" w:rsidRDefault="00006579">
      <w:bookmarkStart w:id="0" w:name="_GoBack"/>
      <w:bookmarkEnd w:id="0"/>
    </w:p>
    <w:sectPr w:rsidR="0082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93"/>
    <w:rsid w:val="00006579"/>
    <w:rsid w:val="00621193"/>
    <w:rsid w:val="00C52C50"/>
    <w:rsid w:val="00D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79"/>
    <w:pPr>
      <w:spacing w:after="0" w:line="228" w:lineRule="atLeast"/>
    </w:pPr>
    <w:rPr>
      <w:rFonts w:eastAsia="Arial Unicode MS" w:cs="Times New Roman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79"/>
    <w:pPr>
      <w:spacing w:after="0" w:line="228" w:lineRule="atLeast"/>
    </w:pPr>
    <w:rPr>
      <w:rFonts w:eastAsia="Arial Unicode MS" w:cs="Times New Roman"/>
      <w:lang w:val="en-US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Ustenko</dc:creator>
  <cp:keywords/>
  <dc:description/>
  <cp:lastModifiedBy>Alena Ustenko</cp:lastModifiedBy>
  <cp:revision>2</cp:revision>
  <dcterms:created xsi:type="dcterms:W3CDTF">2012-12-28T08:21:00Z</dcterms:created>
  <dcterms:modified xsi:type="dcterms:W3CDTF">2012-12-28T08:21:00Z</dcterms:modified>
</cp:coreProperties>
</file>